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50" w:rsidRPr="007B3070" w:rsidRDefault="007B3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332.871</w:t>
      </w:r>
    </w:p>
    <w:p w:rsidR="00820550" w:rsidRPr="007B3070" w:rsidRDefault="00E5537D">
      <w:pPr>
        <w:spacing w:after="0" w:line="240" w:lineRule="auto"/>
        <w:ind w:firstLine="555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30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О.В. Грушина, С.С. Несынова</w:t>
      </w:r>
    </w:p>
    <w:p w:rsidR="00820550" w:rsidRDefault="00820550">
      <w:pPr>
        <w:spacing w:after="0" w:line="240" w:lineRule="auto"/>
        <w:ind w:firstLine="55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7B30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НЕКОТОРЫЕ АСПЕКТЫ РЕАЛИЗАЦИИ ПРОЕКТОВ КОМПЛЕКСНОГО РАЗВИТИЯ ТЕРРИТОРИИ</w:t>
      </w:r>
    </w:p>
    <w:p w:rsidR="00820550" w:rsidRDefault="0082055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Pr="007B3070" w:rsidRDefault="00E5537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подведение итогов запуска механизма комплексного разв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территорий. Рассматриваются проблемные вопросы, затрудняющие реал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зацию проектов комплексного развития. Предлагаются дальнейшие пути разв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тия. </w:t>
      </w:r>
    </w:p>
    <w:p w:rsidR="00820550" w:rsidRPr="007B3070" w:rsidRDefault="00E553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7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Ключевые слова: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комплексное развитие территорий; инженерная инфр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структура; социальная инфраструктура; </w:t>
      </w:r>
      <w:r w:rsidR="00CC652F"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жилищный фонд, доступность жилья.</w:t>
      </w:r>
    </w:p>
    <w:p w:rsidR="00820550" w:rsidRDefault="0082055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Pr="007B3070" w:rsidRDefault="00E5537D">
      <w:pPr>
        <w:shd w:val="clear" w:color="auto" w:fill="FFFFFF"/>
        <w:spacing w:after="0" w:line="240" w:lineRule="auto"/>
        <w:ind w:firstLine="555"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7B30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O.V. Grushina, S.S. Nesynova</w:t>
      </w:r>
    </w:p>
    <w:p w:rsidR="00820550" w:rsidRDefault="0082055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0550" w:rsidRDefault="00E5537D" w:rsidP="007B307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SOME ASPECTS OF THE IMPLEMENTATION OF INTEGRATED TERRITORIAL DEVELOPMENT PROJECTS</w:t>
      </w:r>
    </w:p>
    <w:p w:rsidR="00820550" w:rsidRDefault="00820550">
      <w:pPr>
        <w:spacing w:after="0" w:line="240" w:lineRule="auto"/>
        <w:ind w:firstLine="555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20550" w:rsidRPr="007B307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results of the launch of the mechanism of integrated development of terr</w:t>
      </w: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tories are being summed up.  The problematic issues that complicate the implement</w:t>
      </w: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tion of integrated development projects are considered. Further ways of development are proposed.</w:t>
      </w:r>
    </w:p>
    <w:p w:rsidR="00820550" w:rsidRPr="007B307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B307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Keywords:</w:t>
      </w:r>
      <w:r w:rsidRPr="007B30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integrated development of territories; engineering infrastructure; social infrastructure; </w:t>
      </w:r>
      <w:r w:rsidR="00CC652F" w:rsidRPr="007B3070">
        <w:rPr>
          <w:rFonts w:ascii="Times New Roman" w:hAnsi="Times New Roman" w:cs="Times New Roman"/>
          <w:color w:val="000000"/>
          <w:sz w:val="28"/>
          <w:szCs w:val="28"/>
          <w:lang w:val="en-US"/>
        </w:rPr>
        <w:t>housing stock, housing affordability.</w:t>
      </w:r>
    </w:p>
    <w:p w:rsidR="00820550" w:rsidRPr="007B3070" w:rsidRDefault="00820550" w:rsidP="007B3070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Segoe UI"/>
          <w:sz w:val="28"/>
          <w:szCs w:val="28"/>
          <w:lang w:val="en-US" w:eastAsia="ru-RU"/>
        </w:rPr>
      </w:pPr>
    </w:p>
    <w:p w:rsidR="0082055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эффективным инструментом реализации национальных целей, направленных на обеспечение доступным жильем граждан, ликвидации 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рийного и ветхого жилищного фонда, обновления и развития территорий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пунктов, является механизм комплексного развития территорий (КРТ). За 2 года с момента введения в действие Федеральным законом № 494-ФЗ 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занного механизма в субъектах Российской Федерации разработана нормати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но-правовая база, приняты необходимые документы [1]. В 2022 г</w:t>
      </w:r>
      <w:r w:rsid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начата стадия практической реализации проектов. </w:t>
      </w:r>
    </w:p>
    <w:p w:rsidR="0082055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определен градостроительный потенциал террит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 комплексного развития, который составляет порядка 119 млн кв. м жилья. Всего принято 278 решений о КРТ, из них 105 решений (37,7%) </w:t>
      </w:r>
      <w:r w:rsid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жилой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стройки. Уже выданы разрешения на строительство с планируемым вводом в ближайшие два года 1,5 млн кв. м жилья [2]. </w:t>
      </w:r>
    </w:p>
    <w:p w:rsidR="0082055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Иркутской области отдельные вопросы КРТ урегулиров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 постановлением Правительства Иркутской области от 23 апреля 2021 г</w:t>
      </w:r>
      <w:r w:rsid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293-пп [3]. Проект закона, регулирующий данный механизм, рассматривае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Законодательном Собрании Иркутской области во втором чтении. </w:t>
      </w:r>
    </w:p>
    <w:p w:rsidR="0082055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Правительством нашего региона совместно с муниципальными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в настоящее время принято 10 решений общей площадью 119,9 га с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щим градостроительным потенциалом 604,22 тыс. кв. м нового жилья: 2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жилой застройки, 8 незастроенных территорий.</w:t>
      </w:r>
    </w:p>
    <w:p w:rsidR="00820550" w:rsidRDefault="00E5537D" w:rsidP="007B30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Активную работу по вовлечению федеральных земель в реализацию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проектов ведет АО «ДОМ.РФ». Им реализуется 90 проектов на территории 43 субъектов страны, градостроительный потенциал около 18 млн кв. м </w:t>
      </w:r>
      <w:r w:rsid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(табл. 1)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[4].</w:t>
      </w:r>
    </w:p>
    <w:p w:rsidR="00820550" w:rsidRDefault="00820550" w:rsidP="007B30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7B30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B30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1</w:t>
      </w:r>
    </w:p>
    <w:p w:rsidR="007B3070" w:rsidRPr="007B3070" w:rsidRDefault="007B3070" w:rsidP="007B30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Pr="007B3070" w:rsidRDefault="00E5537D" w:rsidP="007B30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 КРТ</w:t>
      </w:r>
    </w:p>
    <w:p w:rsidR="00820550" w:rsidRDefault="00820550" w:rsidP="007B30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8"/>
        <w:tblW w:w="0" w:type="auto"/>
        <w:tblLook w:val="04A0"/>
      </w:tblPr>
      <w:tblGrid>
        <w:gridCol w:w="2660"/>
        <w:gridCol w:w="2096"/>
        <w:gridCol w:w="2015"/>
        <w:gridCol w:w="2976"/>
      </w:tblGrid>
      <w:tr w:rsidR="00820550" w:rsidTr="007B3070">
        <w:trPr>
          <w:trHeight w:val="20"/>
        </w:trPr>
        <w:tc>
          <w:tcPr>
            <w:tcW w:w="2660" w:type="dxa"/>
            <w:vAlign w:val="center"/>
          </w:tcPr>
          <w:p w:rsidR="00820550" w:rsidRDefault="007B3070" w:rsidP="007B30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096" w:type="dxa"/>
            <w:vAlign w:val="center"/>
          </w:tcPr>
          <w:p w:rsidR="00820550" w:rsidRDefault="00E5537D" w:rsidP="007B30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территорий КРТ*</w:t>
            </w:r>
          </w:p>
        </w:tc>
        <w:tc>
          <w:tcPr>
            <w:tcW w:w="2015" w:type="dxa"/>
            <w:vAlign w:val="center"/>
          </w:tcPr>
          <w:p w:rsidR="00820550" w:rsidRDefault="00E5537D" w:rsidP="007B30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ЗУ под развитие, га</w:t>
            </w:r>
          </w:p>
        </w:tc>
        <w:tc>
          <w:tcPr>
            <w:tcW w:w="2976" w:type="dxa"/>
            <w:vAlign w:val="center"/>
          </w:tcPr>
          <w:p w:rsidR="00820550" w:rsidRDefault="00E5537D" w:rsidP="007B307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Возможный потенциал по строительству, млн </w:t>
            </w:r>
            <w:r w:rsidR="007B3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820550" w:rsidTr="007B3070">
        <w:trPr>
          <w:trHeight w:val="20"/>
        </w:trPr>
        <w:tc>
          <w:tcPr>
            <w:tcW w:w="2660" w:type="dxa"/>
          </w:tcPr>
          <w:p w:rsidR="00820550" w:rsidRDefault="00E553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2096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2015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26 500</w:t>
            </w:r>
          </w:p>
        </w:tc>
        <w:tc>
          <w:tcPr>
            <w:tcW w:w="2976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</w:tr>
      <w:tr w:rsidR="00820550" w:rsidTr="007B3070">
        <w:trPr>
          <w:trHeight w:val="20"/>
        </w:trPr>
        <w:tc>
          <w:tcPr>
            <w:tcW w:w="2660" w:type="dxa"/>
          </w:tcPr>
          <w:p w:rsidR="00820550" w:rsidRDefault="00E553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2096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16**</w:t>
            </w:r>
          </w:p>
        </w:tc>
        <w:tc>
          <w:tcPr>
            <w:tcW w:w="2015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356,8</w:t>
            </w:r>
          </w:p>
        </w:tc>
        <w:tc>
          <w:tcPr>
            <w:tcW w:w="2976" w:type="dxa"/>
          </w:tcPr>
          <w:p w:rsidR="00820550" w:rsidRDefault="00E5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</w:tbl>
    <w:p w:rsidR="00820550" w:rsidRDefault="007B3070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 Т</w:t>
      </w:r>
      <w:r w:rsidR="00E5537D">
        <w:rPr>
          <w:rFonts w:ascii="Times New Roman" w:eastAsia="Times New Roman" w:hAnsi="Times New Roman" w:cs="Times New Roman"/>
          <w:sz w:val="24"/>
          <w:szCs w:val="24"/>
          <w:lang w:eastAsia="ru-RU"/>
        </w:rPr>
        <w:t>ерритории в проработке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0550" w:rsidRDefault="00E5537D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  <w:r w:rsidR="007B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7B30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территорий, реализуемых АО «ДОМ.РФ»</w:t>
      </w:r>
      <w:r w:rsidR="007B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0550" w:rsidRDefault="00820550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Отмечая высокую заинтересованность регионов в применении рассма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риваемого механизма развития территории, выделяются проблемные вопросы, затрудняющие запуск соответствующих проектов, а также их реализацию на практике.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развития территории проводится анализ обеспеченн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жизнедеятельности граждан объектами социальной, транспортной, комм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 инфраструктур, а также их доступность для населения.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Синхронизация проектов о КРТ с планируемым строительством объектов транспортной, социальной и инженерной инфраструктур неизбежна и обяз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Обязанность создания социальных объектов возможно возложить на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вестора в рамках принятия решения о комплексном развитии. Подобное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ложение высказывает и </w:t>
      </w:r>
      <w:r w:rsidR="0045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Веровская [5]</w:t>
      </w:r>
      <w:r w:rsidR="00450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обязательства закрепляются в договоре о КРТ. Возможно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 и встречные обязательства муниципалитета по предоставлению в аренду без проведения торгов земельных участков для строительства объектов инфраструктуры и передачи их инвестором в муниципальную собственность после строительства.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обратить внимание, что по уже заключенным договорам о КРТ, в которых условия по строительству социальной инфраструктуры не предусмо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рены, строительство дополнительных объектов невозможно.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Иркутской области практика реализации обозначенных условий в настоящее время отсутствует. Включение этих обязательств в проект договора о КРТ несет дополнительную финансовую нагрузку на застройщика. 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Государству целесообразно рассмотреть вопрос о компенсации застро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щикам понесенных расходов.</w:t>
      </w:r>
    </w:p>
    <w:p w:rsidR="00820550" w:rsidRDefault="00E5537D" w:rsidP="004506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Предлагается рассмотреть возможность строительства многофункци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нальных жилых комплексов с размещением социальных объектов непосредс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в их составе</w:t>
      </w:r>
      <w:r w:rsidR="0045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0550" w:rsidRDefault="00820550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977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C431B" w:rsidRPr="009770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0" o:spid="_x0000_i1025" type="#_x0000_t75" style="width:489.25pt;height:276.55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450682" w:rsidRDefault="00450682">
      <w:pPr>
        <w:shd w:val="clear" w:color="auto" w:fill="FFFFFF"/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4506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450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Пример расположения социальных объектов</w:t>
      </w:r>
    </w:p>
    <w:p w:rsidR="00820550" w:rsidRDefault="00820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существует риск получения отрицательного заключения экспе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тизы проектов (сейсмоопасность). Территория нашей области расположена в пределах зоны, характеризующейся сейсмической интенсивностью более 6 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строительство объектов инфраструктуры возможно,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зуя государственную поддержку инфраструктурного развития.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активно в субъектах применяется программа инфраструкту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бюджетных кредитов, в рамках которых в 2022 г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78 субъектами получены средства на сумму 250 млрд р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Интересна к применению рассмотренная 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Мельниченко европейская модель КРТ, при которой муниципалитеты на выбранном к освоению 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частке подготавливают коммуникации и только потом привлекают девелоперов [7]. 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на коммуникации (технологическое присоединение, реконстру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ция, строительство) являются одними из самых затратных.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А.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и группа авторов из г. Красноярска предлагают в рамках КРТ освобождать застройщиков от платы за подключение к и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нженерным с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</w:t>
      </w:r>
      <w:r w:rsidR="00A13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[8, 9].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реконструкция объектов инженерной инфраструктуры за счет местных бюджетов затруднительны.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Вместе с тем не стоит забывать о возможности в договоре о КРТ обязать публичное образование обеспечить полностью или частично обеспечить стро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необходимой инфраструктуры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</w:t>
      </w:r>
      <w:r w:rsid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32D" w:rsidRDefault="00977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0BA">
        <w:rPr>
          <w:noProof/>
          <w:lang w:eastAsia="ru-RU"/>
        </w:rPr>
        <w:pict>
          <v:shape id="_x0000_s1026" type="#_x0000_t75" style="position:absolute;left:0;text-align:left;margin-left:5.85pt;margin-top:7.25pt;width:482.3pt;height:193.3pt;z-index:251658752">
            <v:imagedata r:id="rId7" o:title=""/>
            <v:path textboxrect="0,0,0,0"/>
            <w10:wrap type="square"/>
          </v:shape>
        </w:pict>
      </w:r>
    </w:p>
    <w:p w:rsidR="00820550" w:rsidRDefault="009770BA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pict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210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553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ис. 2. Обеспечение жилой застройки инженерной инфраструктурой</w:t>
      </w:r>
    </w:p>
    <w:p w:rsidR="00820550" w:rsidRDefault="00820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разработка новой и совершенствование существующей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государством застройщиков, реализующих проекты КРТ, в первую 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редь, в целях строительства, реконструкции объектов социальной, транспор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 инженерной инфраструктур. </w:t>
      </w:r>
    </w:p>
    <w:p w:rsidR="00820550" w:rsidRDefault="00820550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Библиографический список</w:t>
      </w:r>
    </w:p>
    <w:p w:rsidR="00820550" w:rsidRDefault="00820550">
      <w:pPr>
        <w:shd w:val="clear" w:color="auto" w:fill="FFFFFF"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1. </w:t>
      </w:r>
      <w:r w:rsidRPr="00A1332D">
        <w:rPr>
          <w:rFonts w:ascii="Times New Roman" w:hAnsi="Times New Roman" w:cs="Times New Roman"/>
          <w:sz w:val="28"/>
          <w:szCs w:val="28"/>
        </w:rPr>
        <w:t xml:space="preserve">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в Градостроительный кодекс Российской Фед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и отдельные законодательные акты Российской Федерации в целях обе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печения комплексного развития территорий : 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закон РФ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30.12.2020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494-ФЗ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// СПС «КонсультантПлюс».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Минстрой России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офиц. сайт /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мплексное развитие территории. 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 </w:t>
      </w:r>
      <w:hyperlink r:id="rId8" w:tooltip="https://www.minstroyrf.gov.ru/trades/kompleksnoe-razvitie-territoriy/" w:history="1"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https://www.minstroyrf.gov.ru/trades/kompleksnoe-razvitie-territoriy/</w:t>
        </w:r>
      </w:hyperlink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19.02.2023).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отельных вопросах комплексного развития территории в Иркутской области : 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Иркутской области от 23.04.2021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 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293-пп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изм. на 05.10.2022).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 </w:t>
      </w:r>
      <w:hyperlink r:id="rId9" w:tooltip="https://docs.cntd.ru/document/574722999/" w:history="1"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https://docs.cntd.ru/document/574722999/</w:t>
        </w:r>
      </w:hyperlink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19.02.2023).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ДОМ.РФ предложил усовершенствовать механизм комплексного ра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вития территории : офиц. сайт / 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Российская газета.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URL: </w:t>
      </w:r>
      <w:hyperlink r:id="rId10" w:tooltip="https://rg.ru/2022/12/01/domrf-predlozhil-usoverрshenstvovat-mehanizm-kompleksnogo-razvitiia-territorij.html" w:history="1"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https://rg.ru/2022/12/01/domrf-predlozhil-usoverрshenstvovat-mehanizm-kompleksnogo-razvitiia-territorij.html</w:t>
        </w:r>
      </w:hyperlink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/ (дата обращения 19.02.2023).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Веровская Т. А. Комплексное развитие территории: анализ новелл з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конодательства / Т. А. Веровская // Проблемы правового регулировани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строительства, Москва, 27 февраля 2021 г. – Москва-Берлин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ОО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О «Директ-Медиа», 2021. – С. 14–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30. – EDN BMTWWX.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Минстрое России обсудили ход реализации ФАИП и проектов в ра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инфраструктурного меню : офиц. сайт / 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Минстрой России.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1" w:tooltip="https://minstroyrf.gov.ru/press/v-minstroe-rossii-obsudili-khod-realizatsii-faip-i-proektov-v-ramkakh-infrastrukturnogo-menyu/" w:history="1"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minstroyrf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gov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press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v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minstroe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rossii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obsudili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khod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realizatsii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faip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proektov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v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ramkakh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infrastrukturnogo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menyu</w:t>
        </w:r>
        <w:r w:rsidRPr="00A1332D">
          <w:rPr>
            <w:rStyle w:val="af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19.02.2023).</w:t>
      </w:r>
    </w:p>
    <w:p w:rsidR="00820550" w:rsidRPr="00A1332D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Мельниченко Н. А. Перспективы развития комплексного освоения те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 в России / Н. А. Мельниченко // Инновации. Наука. Образование. – 2022. – № 51. – С. 1637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1642. – EDN CGIJTT.</w:t>
      </w:r>
    </w:p>
    <w:p w:rsidR="00820550" w:rsidRPr="00A1332D" w:rsidRDefault="00A1332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8. Васильева</w:t>
      </w:r>
      <w:r w:rsidR="00E5537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 Анализ механизмов к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омплексного развития террит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 </w:t>
      </w:r>
      <w:r w:rsidR="00E5537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/ А. С. Васильева. – 2021. – № 48. – С. 1869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5537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1873. – EDN PKUOIX.</w:t>
      </w:r>
    </w:p>
    <w:p w:rsidR="00820550" w:rsidRDefault="00E5537D" w:rsidP="00A13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Социально-экономическая эффективность инвестиционно-строительных проектов при механизме комплексного развития территории на примере Красноярского края / Е. А. Киль, А. Г. Филиппов, Н. И. Татаринцев [и др.] // Экономика строительства. – 2022. – № 10. – С. 80</w:t>
      </w:r>
      <w:r w:rsidR="00A1332D"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1332D">
        <w:rPr>
          <w:rFonts w:ascii="Times New Roman" w:eastAsia="Times New Roman" w:hAnsi="Times New Roman" w:cs="Times New Roman"/>
          <w:sz w:val="28"/>
          <w:szCs w:val="28"/>
          <w:lang w:eastAsia="ru-RU"/>
        </w:rPr>
        <w:t>88. – EDN HFSNXM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0550" w:rsidRDefault="00820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об авторах</w:t>
      </w:r>
    </w:p>
    <w:p w:rsidR="00820550" w:rsidRDefault="00820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550" w:rsidRDefault="00E5537D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  <w:r w:rsidRPr="00A13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Грушина Ольга Валерьевна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экономических наук, доцент,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федра экономики строительства и управления недвижимостью, Байкальский государственный университет, 664003, г. </w:t>
      </w:r>
      <w:r w:rsidR="00E0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Иркутск, ул. Ленина, 11, e-mail: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olga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7771972@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0550" w:rsidRPr="00E0590B" w:rsidRDefault="00E5537D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59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Несынова Светлана Сергеевна</w:t>
      </w:r>
      <w:r w:rsidR="00E0590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059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магистрант, кафедра экономики стро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 и управления недвижимостью, Байкальский государственный униве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ситет, 664003, г. Иркутск, ул. Ленина</w:t>
      </w:r>
      <w:r w:rsidRPr="00CC65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11, e-mail: </w:t>
      </w:r>
      <w:r w:rsidR="00E059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s.nesynova@govirk.ru.</w:t>
      </w:r>
    </w:p>
    <w:p w:rsidR="00820550" w:rsidRDefault="00820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0550" w:rsidRPr="00E0590B" w:rsidRDefault="00E553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Authors</w:t>
      </w:r>
    </w:p>
    <w:p w:rsidR="00820550" w:rsidRDefault="00820550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0550" w:rsidRDefault="00E5537D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590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Grushina Olga Valerievna</w:t>
      </w:r>
      <w:r w:rsidR="00E0590B" w:rsidRPr="00E0590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—</w:t>
      </w:r>
      <w:r w:rsidRPr="00CC652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="00CC652F" w:rsidRPr="00CC652F">
        <w:rPr>
          <w:rFonts w:ascii="Times New Roman" w:hAnsi="Times New Roman" w:cs="Times New Roman"/>
          <w:sz w:val="28"/>
          <w:szCs w:val="28"/>
          <w:lang w:val="fr-FR"/>
        </w:rPr>
        <w:t xml:space="preserve">Dr. Sci. </w:t>
      </w:r>
      <w:r w:rsidR="00CC652F" w:rsidRPr="00CC652F">
        <w:rPr>
          <w:rFonts w:ascii="Times New Roman" w:hAnsi="Times New Roman" w:cs="Times New Roman"/>
          <w:sz w:val="28"/>
          <w:szCs w:val="28"/>
          <w:lang w:val="en-GB"/>
        </w:rPr>
        <w:t>(Econ.),</w:t>
      </w:r>
      <w:r w:rsidRPr="00CC65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doc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ent, Department of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struction Economics and Real Estate Management, Baikal State University, 11 Lenin St., 664003, Irkutsk, Russia, e-mail: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olga77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71972@mail.ru.</w:t>
      </w:r>
    </w:p>
    <w:p w:rsidR="00820550" w:rsidRDefault="00E5537D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90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Nesynova Svetlana Sergeevna</w:t>
      </w:r>
      <w:r w:rsidR="00E0590B" w:rsidRPr="00E0590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Master's student, Department of Construction Economics and Real Estate Management, Baikal State University, 11 Lenin St., 664003, Irkutsk, Russia, e-mail: s.nesynova@govirk.ru. </w:t>
      </w:r>
    </w:p>
    <w:sectPr w:rsidR="00820550" w:rsidSect="007B30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62D" w:rsidRDefault="008E562D">
      <w:pPr>
        <w:spacing w:after="0" w:line="240" w:lineRule="auto"/>
      </w:pPr>
      <w:r>
        <w:separator/>
      </w:r>
    </w:p>
  </w:endnote>
  <w:endnote w:type="continuationSeparator" w:id="1">
    <w:p w:rsidR="008E562D" w:rsidRDefault="008E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62D" w:rsidRDefault="008E562D">
      <w:pPr>
        <w:spacing w:after="0" w:line="240" w:lineRule="auto"/>
      </w:pPr>
      <w:r>
        <w:separator/>
      </w:r>
    </w:p>
  </w:footnote>
  <w:footnote w:type="continuationSeparator" w:id="1">
    <w:p w:rsidR="008E562D" w:rsidRDefault="008E5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550"/>
    <w:rsid w:val="00450682"/>
    <w:rsid w:val="004C431B"/>
    <w:rsid w:val="00761FB9"/>
    <w:rsid w:val="007B3070"/>
    <w:rsid w:val="00820550"/>
    <w:rsid w:val="008E562D"/>
    <w:rsid w:val="009770BA"/>
    <w:rsid w:val="00A1332D"/>
    <w:rsid w:val="00C70106"/>
    <w:rsid w:val="00CC652F"/>
    <w:rsid w:val="00E0590B"/>
    <w:rsid w:val="00E2106A"/>
    <w:rsid w:val="00E5537D"/>
    <w:rsid w:val="00F615CA"/>
    <w:rsid w:val="00FC6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E"/>
  </w:style>
  <w:style w:type="paragraph" w:styleId="1">
    <w:name w:val="heading 1"/>
    <w:basedOn w:val="a"/>
    <w:next w:val="a"/>
    <w:link w:val="10"/>
    <w:uiPriority w:val="9"/>
    <w:qFormat/>
    <w:rsid w:val="00FC697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C697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C697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C697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C697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C697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C697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C697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C697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697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C697E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C697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C697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C697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C697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C697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C697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C697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FC697E"/>
    <w:pPr>
      <w:ind w:left="720"/>
      <w:contextualSpacing/>
    </w:pPr>
  </w:style>
  <w:style w:type="paragraph" w:styleId="a4">
    <w:name w:val="No Spacing"/>
    <w:uiPriority w:val="1"/>
    <w:qFormat/>
    <w:rsid w:val="00FC697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C697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C697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C697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C697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C697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C697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C697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C697E"/>
    <w:rPr>
      <w:i/>
    </w:rPr>
  </w:style>
  <w:style w:type="paragraph" w:styleId="ab">
    <w:name w:val="header"/>
    <w:basedOn w:val="a"/>
    <w:link w:val="ac"/>
    <w:uiPriority w:val="99"/>
    <w:unhideWhenUsed/>
    <w:rsid w:val="00FC697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697E"/>
  </w:style>
  <w:style w:type="paragraph" w:styleId="ad">
    <w:name w:val="footer"/>
    <w:basedOn w:val="a"/>
    <w:link w:val="ae"/>
    <w:uiPriority w:val="99"/>
    <w:unhideWhenUsed/>
    <w:rsid w:val="00FC697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C697E"/>
  </w:style>
  <w:style w:type="paragraph" w:styleId="af">
    <w:name w:val="caption"/>
    <w:basedOn w:val="a"/>
    <w:next w:val="a"/>
    <w:uiPriority w:val="35"/>
    <w:semiHidden/>
    <w:unhideWhenUsed/>
    <w:qFormat/>
    <w:rsid w:val="00FC697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FC697E"/>
  </w:style>
  <w:style w:type="table" w:customStyle="1" w:styleId="TableGridLight">
    <w:name w:val="Table Grid Light"/>
    <w:basedOn w:val="a1"/>
    <w:uiPriority w:val="59"/>
    <w:rsid w:val="00FC697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C697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C6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C697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C6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rsid w:val="00FC697E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FC697E"/>
    <w:rPr>
      <w:sz w:val="18"/>
    </w:rPr>
  </w:style>
  <w:style w:type="character" w:styleId="af2">
    <w:name w:val="footnote reference"/>
    <w:basedOn w:val="a0"/>
    <w:uiPriority w:val="99"/>
    <w:unhideWhenUsed/>
    <w:rsid w:val="00FC697E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FC697E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FC697E"/>
    <w:rPr>
      <w:sz w:val="20"/>
    </w:rPr>
  </w:style>
  <w:style w:type="character" w:styleId="af5">
    <w:name w:val="endnote reference"/>
    <w:basedOn w:val="a0"/>
    <w:uiPriority w:val="99"/>
    <w:semiHidden/>
    <w:unhideWhenUsed/>
    <w:rsid w:val="00FC697E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FC697E"/>
    <w:pPr>
      <w:spacing w:after="57"/>
    </w:pPr>
  </w:style>
  <w:style w:type="paragraph" w:styleId="23">
    <w:name w:val="toc 2"/>
    <w:basedOn w:val="a"/>
    <w:next w:val="a"/>
    <w:uiPriority w:val="39"/>
    <w:unhideWhenUsed/>
    <w:rsid w:val="00FC697E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FC697E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FC697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FC697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C697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C697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C697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C697E"/>
    <w:pPr>
      <w:spacing w:after="57"/>
      <w:ind w:left="2268"/>
    </w:pPr>
  </w:style>
  <w:style w:type="paragraph" w:styleId="af6">
    <w:name w:val="TOC Heading"/>
    <w:uiPriority w:val="39"/>
    <w:unhideWhenUsed/>
    <w:rsid w:val="00FC697E"/>
  </w:style>
  <w:style w:type="paragraph" w:styleId="af7">
    <w:name w:val="table of figures"/>
    <w:basedOn w:val="a"/>
    <w:next w:val="a"/>
    <w:uiPriority w:val="99"/>
    <w:unhideWhenUsed/>
    <w:rsid w:val="00FC697E"/>
    <w:pPr>
      <w:spacing w:after="0"/>
    </w:pPr>
  </w:style>
  <w:style w:type="table" w:styleId="af8">
    <w:name w:val="Table Grid"/>
    <w:basedOn w:val="a1"/>
    <w:uiPriority w:val="39"/>
    <w:rsid w:val="00FC697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unhideWhenUsed/>
    <w:rsid w:val="00FC697E"/>
    <w:rPr>
      <w:color w:val="0563C1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E2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21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styleId="af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E2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21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troyrf.gov.ru/trades/kompleksnoe-razvitie-territori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instroyrf.gov.ru/press/v-minstroe-rossii-obsudili-khod-realizatsii-faip-i-proektov-v-ramkakh-infrastrukturnogo-menyu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rg.ru/2022/12/01/domrf-predlozhil-usover&#1088;shenstvovat-mehanizm-kompleksnogo-razvitiia-territorij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cntd.ru/document/574722999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Ирина</cp:lastModifiedBy>
  <cp:revision>2</cp:revision>
  <dcterms:created xsi:type="dcterms:W3CDTF">2023-03-13T14:22:00Z</dcterms:created>
  <dcterms:modified xsi:type="dcterms:W3CDTF">2023-03-13T14:22:00Z</dcterms:modified>
</cp:coreProperties>
</file>